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BD" w:rsidRPr="00F84FC3" w:rsidRDefault="00B664BD" w:rsidP="00B664B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84FC3">
        <w:rPr>
          <w:rFonts w:ascii="Arial" w:hAnsi="Arial" w:cs="Arial"/>
          <w:b/>
          <w:sz w:val="24"/>
          <w:szCs w:val="24"/>
        </w:rPr>
        <w:t>PORTUGUÊS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Leia o texto a seguir para responder as questões de 1 a 3. </w:t>
      </w:r>
    </w:p>
    <w:p w:rsidR="00B664BD" w:rsidRPr="00F84FC3" w:rsidRDefault="00B664BD" w:rsidP="00B664BD">
      <w:pPr>
        <w:pStyle w:val="SemEspaamento"/>
        <w:jc w:val="center"/>
        <w:rPr>
          <w:rFonts w:ascii="Arial" w:hAnsi="Arial" w:cs="Arial"/>
          <w:sz w:val="24"/>
          <w:szCs w:val="24"/>
        </w:rPr>
        <w:sectPr w:rsidR="00B664BD" w:rsidRPr="00F84FC3" w:rsidSect="00115F9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84FC3">
        <w:rPr>
          <w:rFonts w:ascii="Arial" w:hAnsi="Arial" w:cs="Arial"/>
          <w:sz w:val="24"/>
          <w:szCs w:val="24"/>
        </w:rPr>
        <w:t>Teu corpo – Ferreira Gullar</w:t>
      </w:r>
      <w:r w:rsidRPr="00F84FC3">
        <w:rPr>
          <w:rFonts w:ascii="Arial" w:hAnsi="Arial" w:cs="Arial"/>
          <w:sz w:val="24"/>
          <w:szCs w:val="24"/>
        </w:rPr>
        <w:br/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O teu corpo muda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independente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de ti.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Não te pergunta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se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deve engordar.</w:t>
      </w:r>
      <w:r w:rsidRPr="00F84FC3">
        <w:rPr>
          <w:rFonts w:ascii="Arial" w:hAnsi="Arial" w:cs="Arial"/>
          <w:sz w:val="24"/>
          <w:szCs w:val="24"/>
        </w:rPr>
        <w:br/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É um ser estranho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que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tem o teu rosto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ri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em teu riso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goza com teu sexo.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Lhe dás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de comer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ele fica quieto.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spellStart"/>
      <w:r w:rsidRPr="00F84FC3">
        <w:rPr>
          <w:rFonts w:ascii="Arial" w:hAnsi="Arial" w:cs="Arial"/>
          <w:sz w:val="24"/>
          <w:szCs w:val="24"/>
        </w:rPr>
        <w:t>Penteia-lhe</w:t>
      </w:r>
      <w:proofErr w:type="spellEnd"/>
      <w:r w:rsidRPr="00F84FC3">
        <w:rPr>
          <w:rFonts w:ascii="Arial" w:hAnsi="Arial" w:cs="Arial"/>
          <w:sz w:val="24"/>
          <w:szCs w:val="24"/>
        </w:rPr>
        <w:t xml:space="preserve"> os cabelos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como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se fossem teus.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Num relance, </w:t>
      </w:r>
      <w:proofErr w:type="gramStart"/>
      <w:r w:rsidRPr="00F84FC3">
        <w:rPr>
          <w:rFonts w:ascii="Arial" w:hAnsi="Arial" w:cs="Arial"/>
          <w:sz w:val="24"/>
          <w:szCs w:val="24"/>
        </w:rPr>
        <w:t>achas</w:t>
      </w:r>
      <w:proofErr w:type="gramEnd"/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que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apenas estás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nesse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corpo.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Mas como, se </w:t>
      </w:r>
      <w:proofErr w:type="gramStart"/>
      <w:r w:rsidRPr="00F84FC3">
        <w:rPr>
          <w:rFonts w:ascii="Arial" w:hAnsi="Arial" w:cs="Arial"/>
          <w:sz w:val="24"/>
          <w:szCs w:val="24"/>
        </w:rPr>
        <w:t>nele</w:t>
      </w:r>
      <w:proofErr w:type="gramEnd"/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nascente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e sem ele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não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és?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Ao que tudo indica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tu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és esse corpo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— que a cada dia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mais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difere de ti.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E até já tens medo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de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olhar no espelho: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lento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como nuvem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o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rosto que eras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vai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virando outro.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E a erupção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que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te surge no queixo?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Vai sumir? </w:t>
      </w:r>
      <w:proofErr w:type="gramStart"/>
      <w:r w:rsidRPr="00F84FC3">
        <w:rPr>
          <w:rFonts w:ascii="Arial" w:hAnsi="Arial" w:cs="Arial"/>
          <w:sz w:val="24"/>
          <w:szCs w:val="24"/>
        </w:rPr>
        <w:t>alastrar</w:t>
      </w:r>
      <w:proofErr w:type="gramEnd"/>
      <w:r w:rsidRPr="00F84FC3">
        <w:rPr>
          <w:rFonts w:ascii="Arial" w:hAnsi="Arial" w:cs="Arial"/>
          <w:sz w:val="24"/>
          <w:szCs w:val="24"/>
        </w:rPr>
        <w:t>-se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feito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impingem, câncer?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Poderás detê-la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com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FC3">
        <w:rPr>
          <w:rFonts w:ascii="Arial" w:hAnsi="Arial" w:cs="Arial"/>
          <w:sz w:val="24"/>
          <w:szCs w:val="24"/>
        </w:rPr>
        <w:t>Dermobenzol</w:t>
      </w:r>
      <w:proofErr w:type="spellEnd"/>
      <w:r w:rsidRPr="00F84FC3">
        <w:rPr>
          <w:rFonts w:ascii="Arial" w:hAnsi="Arial" w:cs="Arial"/>
          <w:sz w:val="24"/>
          <w:szCs w:val="24"/>
        </w:rPr>
        <w:t>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ou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terás que chamar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o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corpo de bombeiros?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Tocas o joelho: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tu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és esse osso.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Olhas a mão: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tu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és essa mão.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A forma sentada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lastRenderedPageBreak/>
        <w:t>de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bruços na mesa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és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tu.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Quem se senta és tu,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quem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se move (leva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o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cigarro à boca,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traga</w:t>
      </w:r>
      <w:proofErr w:type="gramEnd"/>
      <w:r w:rsidRPr="00F84FC3">
        <w:rPr>
          <w:rFonts w:ascii="Arial" w:hAnsi="Arial" w:cs="Arial"/>
          <w:sz w:val="24"/>
          <w:szCs w:val="24"/>
        </w:rPr>
        <w:t>, bate a cinza)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és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tu.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Mas quem morre?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Quem diz ao teu corpo — morre —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quem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diz a ele — envelhece —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se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não o desejas,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se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queres continuar vivo e jovem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por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infinitas manhãs?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  <w:sectPr w:rsidR="00B664BD" w:rsidRPr="00F84FC3" w:rsidSect="00115F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1- Que verso sugere que o indivíduo tem a percepção da mudança do próprio corpo?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a) O rosto que eras / </w:t>
      </w:r>
      <w:proofErr w:type="gramStart"/>
      <w:r w:rsidRPr="00F84FC3">
        <w:rPr>
          <w:rFonts w:ascii="Arial" w:hAnsi="Arial" w:cs="Arial"/>
          <w:sz w:val="24"/>
          <w:szCs w:val="24"/>
        </w:rPr>
        <w:t>vai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virando outro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b) O teu corpo mudo / independente de ti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F84FC3">
        <w:rPr>
          <w:rFonts w:ascii="Arial" w:hAnsi="Arial" w:cs="Arial"/>
          <w:sz w:val="24"/>
          <w:szCs w:val="24"/>
        </w:rPr>
        <w:t>Tu é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esse corpo / que a cada dia / mais difere de ti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d) Se queres continuar vivo e jovem / por infinitas manhãs?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e) Mas quem morre? Quem diz ao teu corpo – morre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2- O poema trata fundamentalmente do conflito entre o indivíduo e o próprio corpo. Qual?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a) A </w:t>
      </w:r>
      <w:proofErr w:type="spellStart"/>
      <w:r w:rsidRPr="00F84FC3">
        <w:rPr>
          <w:rFonts w:ascii="Arial" w:hAnsi="Arial" w:cs="Arial"/>
          <w:sz w:val="24"/>
          <w:szCs w:val="24"/>
        </w:rPr>
        <w:t>inaceitação</w:t>
      </w:r>
      <w:proofErr w:type="spellEnd"/>
      <w:r w:rsidRPr="00F84FC3">
        <w:rPr>
          <w:rFonts w:ascii="Arial" w:hAnsi="Arial" w:cs="Arial"/>
          <w:sz w:val="24"/>
          <w:szCs w:val="24"/>
        </w:rPr>
        <w:t xml:space="preserve"> da velhice.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b) Mudanças preestabelecidas por nós mesmos.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c) Mudanças ocasionadas por nosso amadurecimento.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d) Mudanças físicas e psicológicas causadas pela velhice.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e) Abandono da vida e desejo da morte.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3- Podemos dizer do narrador do poema acima:</w:t>
      </w:r>
    </w:p>
    <w:p w:rsidR="00B664BD" w:rsidRPr="00F84FC3" w:rsidRDefault="00B664BD" w:rsidP="00B664BD">
      <w:pPr>
        <w:pStyle w:val="SemEspaamento"/>
        <w:ind w:left="705" w:hanging="705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a) é em primeira pessoa e o narrador é observador, não participa da história.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b) é em primeira pessoa e o narrador é protagonista, participa da história.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c) é em terceira pessoa; o narrador possui onisciência completa.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d) é em terceira pessoa; o narrador possui onisciência seletiva.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e) é em terceira pessoa e o narrador está implícito, surge apenas para </w:t>
      </w:r>
      <w:proofErr w:type="gramStart"/>
      <w:r w:rsidRPr="00F84FC3">
        <w:rPr>
          <w:rFonts w:ascii="Arial" w:hAnsi="Arial" w:cs="Arial"/>
          <w:sz w:val="24"/>
          <w:szCs w:val="24"/>
        </w:rPr>
        <w:t>tecer comentários</w:t>
      </w:r>
      <w:proofErr w:type="gramEnd"/>
      <w:r w:rsidRPr="00F84FC3">
        <w:rPr>
          <w:rFonts w:ascii="Arial" w:hAnsi="Arial" w:cs="Arial"/>
          <w:sz w:val="24"/>
          <w:szCs w:val="24"/>
        </w:rPr>
        <w:t>.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Leia a tirinha a seguir e responda as questões </w:t>
      </w:r>
      <w:proofErr w:type="gramStart"/>
      <w:r w:rsidRPr="00F84FC3">
        <w:rPr>
          <w:rFonts w:ascii="Arial" w:hAnsi="Arial" w:cs="Arial"/>
          <w:sz w:val="24"/>
          <w:szCs w:val="24"/>
        </w:rPr>
        <w:t>4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 e 5: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noProof/>
          <w:lang w:eastAsia="pt-BR"/>
        </w:rPr>
        <w:drawing>
          <wp:inline distT="0" distB="0" distL="0" distR="0" wp14:anchorId="3DDEF98D" wp14:editId="2E185876">
            <wp:extent cx="5048250" cy="1490436"/>
            <wp:effectExtent l="0" t="0" r="0" b="0"/>
            <wp:docPr id="1" name="Imagem 1" descr="2010_EF8_prova1_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_EF8_prova1_P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81" cy="14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4</w:t>
      </w:r>
      <w:proofErr w:type="gramEnd"/>
      <w:r w:rsidRPr="00F84FC3">
        <w:rPr>
          <w:rFonts w:ascii="Arial" w:hAnsi="Arial" w:cs="Arial"/>
          <w:sz w:val="24"/>
          <w:szCs w:val="24"/>
        </w:rPr>
        <w:t xml:space="preserve">) A onomatopeia “BURP” presente no primeiro quadro da tirinha, do personagem Garfield, refere-se à: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a) soluço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b) miado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c) latido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d) arroto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e) vômito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F84FC3">
        <w:rPr>
          <w:rFonts w:ascii="Arial" w:hAnsi="Arial" w:cs="Arial"/>
          <w:sz w:val="24"/>
          <w:szCs w:val="24"/>
        </w:rPr>
        <w:t>5</w:t>
      </w:r>
      <w:proofErr w:type="gramEnd"/>
      <w:r w:rsidRPr="00F84FC3">
        <w:rPr>
          <w:rFonts w:ascii="Arial" w:hAnsi="Arial" w:cs="Arial"/>
          <w:sz w:val="24"/>
          <w:szCs w:val="24"/>
        </w:rPr>
        <w:t>) O verbo voltar – “volto” do 3° quadrinho está apresentado na seguinte conjugação: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lastRenderedPageBreak/>
        <w:t>a) 1ª pessoa – pretérito imperfeito do indicativo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b) 3ª pessoa – futuro do presente do indicativo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c) 1ª pessoa – presente do indicativo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d) 2ª pessoa – presente do indicativo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e) 3ª pessoa – pretérito perfeito do indicativo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 xml:space="preserve"> </w:t>
      </w:r>
    </w:p>
    <w:p w:rsidR="00B664BD" w:rsidRPr="00F84FC3" w:rsidRDefault="00B664BD" w:rsidP="00B664BD">
      <w:pPr>
        <w:pStyle w:val="SemEspaamento"/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/>
    <w:p w:rsidR="00B664BD" w:rsidRPr="00F85E88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  <w:r w:rsidRPr="00F85E88">
        <w:rPr>
          <w:rFonts w:ascii="Arial" w:hAnsi="Arial" w:cs="Arial"/>
          <w:b/>
          <w:sz w:val="24"/>
          <w:szCs w:val="24"/>
        </w:rPr>
        <w:t xml:space="preserve">CONHECIMENTOS GERAIS </w:t>
      </w:r>
    </w:p>
    <w:p w:rsidR="00B664BD" w:rsidRPr="00F85E88" w:rsidRDefault="00B664BD" w:rsidP="00B664BD">
      <w:pPr>
        <w:rPr>
          <w:rFonts w:ascii="Arial" w:hAnsi="Arial" w:cs="Arial"/>
          <w:b/>
        </w:rPr>
      </w:pPr>
    </w:p>
    <w:p w:rsidR="00B664BD" w:rsidRPr="00F85E88" w:rsidRDefault="00B664BD" w:rsidP="00B664BD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proofErr w:type="gramEnd"/>
      <w:r w:rsidRPr="00F85E88">
        <w:rPr>
          <w:rFonts w:ascii="Arial" w:hAnsi="Arial" w:cs="Arial"/>
        </w:rPr>
        <w:t xml:space="preserve">) No caso de impedimento ou vacância do Presidente da República quem assume na impossibilidade do vice?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a) O presidente do Senado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O </w:t>
      </w:r>
      <w:proofErr w:type="gramStart"/>
      <w:r w:rsidRPr="00F85E88">
        <w:rPr>
          <w:rFonts w:ascii="Arial" w:hAnsi="Arial" w:cs="Arial"/>
        </w:rPr>
        <w:t>vice presidente</w:t>
      </w:r>
      <w:proofErr w:type="gramEnd"/>
      <w:r w:rsidRPr="00F85E88">
        <w:rPr>
          <w:rFonts w:ascii="Arial" w:hAnsi="Arial" w:cs="Arial"/>
        </w:rPr>
        <w:t xml:space="preserve"> do Senado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O Presidente da Câmara de Vereadores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O Presidente da Câmara dos Deputados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e) Rodrigo </w:t>
      </w:r>
      <w:proofErr w:type="spellStart"/>
      <w:r w:rsidRPr="00F85E88">
        <w:rPr>
          <w:rFonts w:ascii="Arial" w:hAnsi="Arial" w:cs="Arial"/>
        </w:rPr>
        <w:t>Roli</w:t>
      </w:r>
      <w:proofErr w:type="spellEnd"/>
      <w:r w:rsidRPr="00F85E88">
        <w:rPr>
          <w:rFonts w:ascii="Arial" w:hAnsi="Arial" w:cs="Arial"/>
        </w:rPr>
        <w:t xml:space="preserve">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</w:p>
    <w:p w:rsidR="00B664BD" w:rsidRPr="00F85E88" w:rsidRDefault="00B664BD" w:rsidP="00B664BD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proofErr w:type="gramEnd"/>
      <w:r w:rsidRPr="00F85E88">
        <w:rPr>
          <w:rFonts w:ascii="Arial" w:hAnsi="Arial" w:cs="Arial"/>
        </w:rPr>
        <w:t xml:space="preserve">) Quem foi o líder comunista que permaneceu por 49 anos no poder e em que país?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>a) Raul Castro – Cuba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Lula – Brasil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Fidel Castro – Cuba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Hugo Chaves – Venezuela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e) Rainha Elizabeth I – Reino Unido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</w:p>
    <w:p w:rsidR="00B664BD" w:rsidRPr="00F85E88" w:rsidRDefault="00B664BD" w:rsidP="00B664BD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proofErr w:type="gramEnd"/>
      <w:r w:rsidRPr="00F85E88">
        <w:rPr>
          <w:rFonts w:ascii="Arial" w:hAnsi="Arial" w:cs="Arial"/>
        </w:rPr>
        <w:t xml:space="preserve">) Desde 2014 a operação “lava-jato” investiga que situação?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a) Conflito entre partidos políticos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Corrupção que envolve empreiteiros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Corrupção que envolve partidos políticos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As afirmativas </w:t>
      </w:r>
      <w:r w:rsidRPr="00F85E88">
        <w:rPr>
          <w:rFonts w:ascii="Arial" w:hAnsi="Arial" w:cs="Arial"/>
          <w:b/>
        </w:rPr>
        <w:t>b)</w:t>
      </w:r>
      <w:r w:rsidRPr="00F85E88">
        <w:rPr>
          <w:rFonts w:ascii="Arial" w:hAnsi="Arial" w:cs="Arial"/>
        </w:rPr>
        <w:t xml:space="preserve"> e </w:t>
      </w:r>
      <w:r w:rsidRPr="00F85E88">
        <w:rPr>
          <w:rFonts w:ascii="Arial" w:hAnsi="Arial" w:cs="Arial"/>
          <w:b/>
        </w:rPr>
        <w:t>c)</w:t>
      </w:r>
      <w:r w:rsidRPr="00F85E88">
        <w:rPr>
          <w:rFonts w:ascii="Arial" w:hAnsi="Arial" w:cs="Arial"/>
        </w:rPr>
        <w:t xml:space="preserve"> se completam e estão corretas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lastRenderedPageBreak/>
        <w:t xml:space="preserve">e) Nenhuma das alternativas anteriores é correta.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</w:p>
    <w:p w:rsidR="00B664BD" w:rsidRPr="00F85E88" w:rsidRDefault="00B664BD" w:rsidP="00B664BD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proofErr w:type="gramEnd"/>
      <w:r w:rsidRPr="00F85E88">
        <w:rPr>
          <w:rFonts w:ascii="Arial" w:hAnsi="Arial" w:cs="Arial"/>
        </w:rPr>
        <w:t xml:space="preserve">) O Presidente dos Estados Unidos anunciou a saída do pais do acordo de Paris. Do que se trata este acordo?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a) Desarmamento Nuclear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Compromissos Globais na luta contra os efeitos das mudanças climáticas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Compromissos globais na luta econômica </w:t>
      </w:r>
    </w:p>
    <w:p w:rsidR="00B664BD" w:rsidRPr="00F85E88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Todas as afirmativas acima estão corretas </w:t>
      </w:r>
    </w:p>
    <w:p w:rsidR="00B664BD" w:rsidRDefault="00B664BD" w:rsidP="00B664BD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e) </w:t>
      </w:r>
      <w:proofErr w:type="gramStart"/>
      <w:r w:rsidRPr="00F85E88">
        <w:rPr>
          <w:rFonts w:ascii="Arial" w:hAnsi="Arial" w:cs="Arial"/>
        </w:rPr>
        <w:t xml:space="preserve">As afirmativas </w:t>
      </w:r>
      <w:r w:rsidRPr="00F85E88">
        <w:rPr>
          <w:rFonts w:ascii="Arial" w:hAnsi="Arial" w:cs="Arial"/>
          <w:b/>
        </w:rPr>
        <w:t>a)</w:t>
      </w:r>
      <w:proofErr w:type="gramEnd"/>
      <w:r w:rsidRPr="00F85E88">
        <w:rPr>
          <w:rFonts w:ascii="Arial" w:hAnsi="Arial" w:cs="Arial"/>
        </w:rPr>
        <w:t xml:space="preserve">,  </w:t>
      </w:r>
      <w:r w:rsidRPr="00F85E88">
        <w:rPr>
          <w:rFonts w:ascii="Arial" w:hAnsi="Arial" w:cs="Arial"/>
          <w:b/>
        </w:rPr>
        <w:t>b)</w:t>
      </w:r>
      <w:r w:rsidRPr="00F85E88">
        <w:rPr>
          <w:rFonts w:ascii="Arial" w:hAnsi="Arial" w:cs="Arial"/>
        </w:rPr>
        <w:t xml:space="preserve"> e </w:t>
      </w:r>
      <w:r w:rsidRPr="00F85E88">
        <w:rPr>
          <w:rFonts w:ascii="Arial" w:hAnsi="Arial" w:cs="Arial"/>
          <w:b/>
        </w:rPr>
        <w:t>c)</w:t>
      </w:r>
      <w:r w:rsidRPr="00F85E88">
        <w:rPr>
          <w:rFonts w:ascii="Arial" w:hAnsi="Arial" w:cs="Arial"/>
        </w:rPr>
        <w:t xml:space="preserve"> estão erradas </w:t>
      </w:r>
    </w:p>
    <w:p w:rsidR="00B664BD" w:rsidRDefault="00B664BD" w:rsidP="00B664BD">
      <w:pPr>
        <w:ind w:left="360"/>
        <w:rPr>
          <w:rFonts w:ascii="Arial" w:hAnsi="Arial" w:cs="Arial"/>
        </w:rPr>
      </w:pPr>
    </w:p>
    <w:p w:rsidR="00B664BD" w:rsidRDefault="00B664BD" w:rsidP="00B664BD">
      <w:pPr>
        <w:ind w:left="360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</w:rPr>
        <w:t>10</w:t>
      </w:r>
      <w:r w:rsidRPr="00F85E88">
        <w:rPr>
          <w:rFonts w:ascii="Arial" w:hAnsi="Arial" w:cs="Arial"/>
        </w:rPr>
        <w:t>)</w:t>
      </w:r>
      <w:proofErr w:type="gramEnd"/>
      <w:r w:rsidRPr="00F85E88">
        <w:rPr>
          <w:rFonts w:ascii="Arial" w:hAnsi="Arial" w:cs="Arial"/>
        </w:rPr>
        <w:t xml:space="preserve"> Em novembro de 2015 o Brasil presenciou o maior desastre ambiental da história </w:t>
      </w:r>
      <w:r w:rsidRPr="00F85E88">
        <w:rPr>
          <w:rFonts w:ascii="Arial" w:hAnsi="Arial" w:cs="Arial"/>
          <w:color w:val="000000"/>
          <w:shd w:val="clear" w:color="auto" w:fill="FFFFFF"/>
        </w:rPr>
        <w:t>a barragem de Fundão, da mineradora Samarco, se rompeu, provocando o vazamento de 62 milhões de metros cúbicos de lama de rejeitos de minério,</w:t>
      </w:r>
      <w:r>
        <w:rPr>
          <w:rFonts w:ascii="Arial" w:hAnsi="Arial" w:cs="Arial"/>
          <w:color w:val="000000"/>
          <w:shd w:val="clear" w:color="auto" w:fill="FFFFFF"/>
        </w:rPr>
        <w:t xml:space="preserve"> entre estas cidades estão: </w:t>
      </w:r>
    </w:p>
    <w:p w:rsidR="00B664BD" w:rsidRDefault="00B664BD" w:rsidP="00B664BD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a) Mariana (MG) </w:t>
      </w:r>
    </w:p>
    <w:p w:rsidR="00B664BD" w:rsidRDefault="00B664BD" w:rsidP="00B664BD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b) Governador Valadares (MG) </w:t>
      </w:r>
    </w:p>
    <w:p w:rsidR="00B664BD" w:rsidRDefault="00B664BD" w:rsidP="00B664BD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c) Colatina (ES) </w:t>
      </w:r>
    </w:p>
    <w:p w:rsidR="00B664BD" w:rsidRDefault="00B664BD" w:rsidP="00B664BD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d) Linhares (ES) </w:t>
      </w:r>
    </w:p>
    <w:p w:rsidR="00B664BD" w:rsidRPr="00F84FC3" w:rsidRDefault="00B664BD" w:rsidP="00B6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e) Todas as alternativas anteriores estão corretas</w:t>
      </w:r>
    </w:p>
    <w:p w:rsidR="00B664BD" w:rsidRPr="00F84FC3" w:rsidRDefault="00B664BD" w:rsidP="00B664BD">
      <w:pPr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jc w:val="center"/>
        <w:rPr>
          <w:rFonts w:ascii="Arial" w:hAnsi="Arial" w:cs="Arial"/>
          <w:sz w:val="24"/>
          <w:szCs w:val="24"/>
        </w:rPr>
      </w:pPr>
    </w:p>
    <w:p w:rsidR="00B664BD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</w:p>
    <w:p w:rsidR="00B664BD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</w:p>
    <w:p w:rsidR="00B664BD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</w:p>
    <w:p w:rsidR="00B664BD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</w:p>
    <w:p w:rsidR="00B664BD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</w:p>
    <w:p w:rsidR="00B664BD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</w:p>
    <w:p w:rsidR="00B664BD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</w:p>
    <w:p w:rsidR="00B664BD" w:rsidRDefault="00B664BD" w:rsidP="00B664BD">
      <w:pPr>
        <w:rPr>
          <w:rFonts w:ascii="Arial" w:hAnsi="Arial" w:cs="Arial"/>
          <w:b/>
          <w:sz w:val="24"/>
          <w:szCs w:val="24"/>
        </w:rPr>
      </w:pPr>
    </w:p>
    <w:p w:rsidR="00B664BD" w:rsidRPr="00F84FC3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  <w:r w:rsidRPr="00F84FC3">
        <w:rPr>
          <w:rFonts w:ascii="Arial" w:hAnsi="Arial" w:cs="Arial"/>
          <w:b/>
          <w:sz w:val="24"/>
          <w:szCs w:val="24"/>
        </w:rPr>
        <w:lastRenderedPageBreak/>
        <w:t xml:space="preserve">CONHECIMENTOS ESPECÍFICOS </w:t>
      </w:r>
    </w:p>
    <w:p w:rsidR="00B664BD" w:rsidRPr="00F84FC3" w:rsidRDefault="00B664BD" w:rsidP="00B664BD">
      <w:pPr>
        <w:jc w:val="center"/>
        <w:rPr>
          <w:rFonts w:ascii="Arial" w:hAnsi="Arial" w:cs="Arial"/>
          <w:b/>
          <w:sz w:val="24"/>
          <w:szCs w:val="24"/>
        </w:rPr>
      </w:pPr>
      <w:r w:rsidRPr="00F84FC3">
        <w:rPr>
          <w:rFonts w:ascii="Arial" w:hAnsi="Arial" w:cs="Arial"/>
          <w:b/>
          <w:sz w:val="24"/>
          <w:szCs w:val="24"/>
        </w:rPr>
        <w:t xml:space="preserve">ASSISTENTE SOCIAL </w:t>
      </w:r>
    </w:p>
    <w:p w:rsidR="00B664BD" w:rsidRPr="00F84FC3" w:rsidRDefault="00B664BD" w:rsidP="00B664BD">
      <w:pPr>
        <w:jc w:val="center"/>
        <w:rPr>
          <w:rFonts w:ascii="Arial" w:hAnsi="Arial" w:cs="Arial"/>
          <w:sz w:val="24"/>
          <w:szCs w:val="24"/>
        </w:rPr>
      </w:pPr>
      <w:r w:rsidRPr="00F84FC3">
        <w:rPr>
          <w:rFonts w:ascii="Arial" w:hAnsi="Arial" w:cs="Arial"/>
          <w:sz w:val="24"/>
          <w:szCs w:val="24"/>
        </w:rPr>
        <w:t>As questões de 11 – 15 referem-se à Lei Orgânica da Assistência Social.</w:t>
      </w:r>
    </w:p>
    <w:p w:rsidR="00B664BD" w:rsidRPr="00F84FC3" w:rsidRDefault="00B664BD" w:rsidP="00B664BD">
      <w:pPr>
        <w:rPr>
          <w:rFonts w:ascii="Arial" w:hAnsi="Arial" w:cs="Arial"/>
          <w:sz w:val="24"/>
          <w:szCs w:val="24"/>
        </w:rPr>
      </w:pP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11- A assistência social tem por objetivos, exceto: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a)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a proteção à família, à maternidade, à infância, à adolescência e à velhice;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b)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o amparo às crianças e adolescentes carentes;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c)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a promoção da integração ao mercado de trabalho;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d)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a habilitação e reabilitação das pessoas portadoras de deficiência e a promoção de sua integração à vida comunitária;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e)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a garantia de 2 (dois) salários mínimos de benefício mensal à pessoa portadora de deficiência e ao idoso que comprovem não possuir meios de prover a própria manutenção ou de tê-la provida por sua família.</w:t>
      </w:r>
    </w:p>
    <w:p w:rsidR="00B664BD" w:rsidRPr="00F84FC3" w:rsidRDefault="00B664BD" w:rsidP="00B664BD">
      <w:pPr>
        <w:rPr>
          <w:rFonts w:ascii="Arial" w:hAnsi="Arial" w:cs="Arial"/>
        </w:rPr>
      </w:pP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12- A assistência social rege-se pelos seguintes princípios, exceto: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a)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supremacia do atendimento às necessidades sociais sobre as exigências de rentabilidade econômica;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b)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universalização dos direitos sociais, a fim de tornar o destinatário da ação assistencial alcançável pelas demais políticas públicas;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c)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respeito à dignidade do cidadão, à sua autonomia e ao seu direito a benefícios e serviços de qualidade, bem como à convivência familiar e comunitária, vedando-se qualquer comprovação vexatória de necessidade;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d)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igualdade de direitos no acesso ao atendimento, sem discriminação de qualquer natureza, sem necessidade de garantir a equivalência às populações urbanas e rurais;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e)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divulgação ampla dos benefícios, serviços, programas e projetos assistenciais, bem como dos recursos oferecidos pelo Poder Público e dos critérios para sua concessão.</w:t>
      </w:r>
    </w:p>
    <w:p w:rsidR="00B664BD" w:rsidRPr="00F84FC3" w:rsidRDefault="00B664BD" w:rsidP="00B664BD">
      <w:pPr>
        <w:rPr>
          <w:rFonts w:ascii="Arial" w:hAnsi="Arial" w:cs="Arial"/>
        </w:rPr>
      </w:pP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13- De acordo com </w:t>
      </w:r>
      <w:proofErr w:type="gramStart"/>
      <w:r w:rsidRPr="00F84FC3">
        <w:rPr>
          <w:rFonts w:ascii="Arial" w:hAnsi="Arial" w:cs="Arial"/>
        </w:rPr>
        <w:t>o LOAS (Lei Orgânica da Assistência Social)</w:t>
      </w:r>
      <w:proofErr w:type="gramEnd"/>
      <w:r w:rsidRPr="00F84FC3">
        <w:rPr>
          <w:rFonts w:ascii="Arial" w:hAnsi="Arial" w:cs="Arial"/>
        </w:rPr>
        <w:t xml:space="preserve">, assinale a alternativa correta com respeito da organização e da gestão: 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a) A instância coordenadora da Política Nacional de Assistência Social é o Ministério da Moradia. 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lastRenderedPageBreak/>
        <w:t>b) Cabe ao Conselho Municipal de Saúde e ao Conselho de Assistência à Moradia do Distrito Federal a fiscalização das entidades referidas no caput na forma prevista em lei ou regulamento.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c) A União, os Estados, os Municípios e o Distrito Federal não podem celebrar convênios com entidades e organizações de assistência social, em conformidade com os Planos aprovados pelos respectivos Conselhos.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d) A inscrição da entidade no Conselho Municipal de Assistência Social, ou no Conselho de Assistência Social do Distrito Federal, é condição essencial para o encaminhamento de pedido de registro e de certificado de entidade de fins filantrópicos junto ao Conselho Nacional de Assistência Social (CNAS</w:t>
      </w:r>
      <w:proofErr w:type="gramStart"/>
      <w:r w:rsidRPr="00F84FC3">
        <w:rPr>
          <w:rFonts w:ascii="Arial" w:hAnsi="Arial" w:cs="Arial"/>
        </w:rPr>
        <w:t>)</w:t>
      </w:r>
      <w:proofErr w:type="gramEnd"/>
      <w:r w:rsidRPr="00F84FC3">
        <w:rPr>
          <w:rFonts w:ascii="Arial" w:hAnsi="Arial" w:cs="Arial"/>
        </w:rPr>
        <w:t xml:space="preserve"> 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e) Fica instituído o Conselho Nacional de Assistência Social (CNAS), órgão superior de deliberação colegiada, vinculado à estrutura do órgão da Administração Pública Federal responsável pela coordenação da Política Nacional de Assistência Social, cujos membros, nomeados pelo Presidente da República, têm mandato de </w:t>
      </w:r>
      <w:proofErr w:type="gramStart"/>
      <w:r w:rsidRPr="00F84FC3">
        <w:rPr>
          <w:rFonts w:ascii="Arial" w:hAnsi="Arial" w:cs="Arial"/>
        </w:rPr>
        <w:t>4</w:t>
      </w:r>
      <w:proofErr w:type="gramEnd"/>
      <w:r w:rsidRPr="00F84FC3">
        <w:rPr>
          <w:rFonts w:ascii="Arial" w:hAnsi="Arial" w:cs="Arial"/>
        </w:rPr>
        <w:t xml:space="preserve"> (quatro) anos, permitida uma única recondução por igual período.</w:t>
      </w:r>
    </w:p>
    <w:p w:rsidR="00B664BD" w:rsidRPr="00F84FC3" w:rsidRDefault="00B664BD" w:rsidP="00B664BD">
      <w:pPr>
        <w:rPr>
          <w:rFonts w:ascii="Arial" w:hAnsi="Arial" w:cs="Arial"/>
        </w:rPr>
      </w:pP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14- É condição para os repasses, aos Municípios, aos Estados e ao Distrito Federal, dos recursos de que trata esta lei, a efetiva instituição e funcionamento de, exceto: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a)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Conselho de Assistência Social, de composição paritária entre governo e sociedade civil.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b)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Fundo de Assistência Social, com orientação e controle dos respectivos Conselhos de Assistência Social.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c)</w:t>
      </w:r>
      <w:proofErr w:type="gramStart"/>
      <w:r w:rsidRPr="00F84FC3">
        <w:rPr>
          <w:rFonts w:ascii="Arial" w:hAnsi="Arial" w:cs="Arial"/>
        </w:rPr>
        <w:t xml:space="preserve">  </w:t>
      </w:r>
      <w:proofErr w:type="gramEnd"/>
      <w:r w:rsidRPr="00F84FC3">
        <w:rPr>
          <w:rFonts w:ascii="Arial" w:hAnsi="Arial" w:cs="Arial"/>
        </w:rPr>
        <w:t>Plano de Assistência Social.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d) Plano de Assistência Funerária. 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e) É, ainda, condição para transferência de recursos do FNAS (Fundo Nacional de Assistência Social) aos Estados, ao Distrito Federal e aos Municípios a comprovação orçamentária dos recursos próprios destinados à Assistência Social, alocados em seus respectivos Fundos de Assistência Social.</w:t>
      </w:r>
    </w:p>
    <w:p w:rsidR="00B664BD" w:rsidRPr="00F84FC3" w:rsidRDefault="00B664BD" w:rsidP="00B664BD">
      <w:pPr>
        <w:rPr>
          <w:rFonts w:ascii="Arial" w:hAnsi="Arial" w:cs="Arial"/>
        </w:rPr>
      </w:pP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15- As instâncias deliberativas do sistema descentralizado e participativo de assistência social, descrito </w:t>
      </w:r>
      <w:proofErr w:type="gramStart"/>
      <w:r w:rsidRPr="00F84FC3">
        <w:rPr>
          <w:rFonts w:ascii="Arial" w:hAnsi="Arial" w:cs="Arial"/>
        </w:rPr>
        <w:t>na LOAS</w:t>
      </w:r>
      <w:proofErr w:type="gramEnd"/>
      <w:r w:rsidRPr="00F84FC3">
        <w:rPr>
          <w:rFonts w:ascii="Arial" w:hAnsi="Arial" w:cs="Arial"/>
        </w:rPr>
        <w:t xml:space="preserve"> (Lei Orgânica de Assistência Social), de caráter permanente e composição paritária entre governo e sociedade civil, são: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>a) o Conselho Nacional de Assistência Social; os Conselhos Estaduais de Assistência Social; o Conselho de Assistência Social do Distrito Federal; os Conselhos Municipais de Saúde.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lastRenderedPageBreak/>
        <w:t xml:space="preserve">b) o Conselho Nacional de Assistência Social; os Conselhos Estaduais de Assistência Social; o Conselho de Assistência Social do Distrito Federal; os Conselhos Municipais de Assistência Social. 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c) o Conselho Nacional de Moradia Rural; os Conselhos Estaduais de Assistência Social; o Conselho de Assistência Social do Distrito Federal; os Conselhos Municipais de Assistência Social. 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d) o Conselho Nacional de Assistência Social; os Conselhos Estaduais de Assistência Social; o Conselho de Assistência Social do Rio de Janeiro; os Conselhos Municipais de Assistência Social. </w:t>
      </w:r>
    </w:p>
    <w:p w:rsidR="00B664BD" w:rsidRPr="00F84FC3" w:rsidRDefault="00B664BD" w:rsidP="00B664BD">
      <w:pPr>
        <w:rPr>
          <w:rFonts w:ascii="Arial" w:hAnsi="Arial" w:cs="Arial"/>
        </w:rPr>
      </w:pPr>
      <w:r w:rsidRPr="00F84FC3">
        <w:rPr>
          <w:rFonts w:ascii="Arial" w:hAnsi="Arial" w:cs="Arial"/>
        </w:rPr>
        <w:t xml:space="preserve">e) o Conselho Nacional de Assistência Social; os Conselhos Estaduais de Assistência Social; o Conselho de Assistência Social do Distrito Federal; os Conselhos Municipais de Educação. </w:t>
      </w:r>
    </w:p>
    <w:p w:rsidR="00B664BD" w:rsidRPr="00F73AE7" w:rsidRDefault="00B664BD" w:rsidP="00B664BD"/>
    <w:p w:rsidR="00D80DEF" w:rsidRPr="00F73AE7" w:rsidRDefault="00D80DEF" w:rsidP="00F73AE7"/>
    <w:sectPr w:rsidR="00D80DEF" w:rsidRPr="00F73AE7" w:rsidSect="00A60CA2">
      <w:headerReference w:type="default" r:id="rId10"/>
      <w:pgSz w:w="11906" w:h="16838"/>
      <w:pgMar w:top="2385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6A" w:rsidRDefault="00DD246A" w:rsidP="0042610B">
      <w:pPr>
        <w:spacing w:after="0" w:line="240" w:lineRule="auto"/>
      </w:pPr>
      <w:r>
        <w:separator/>
      </w:r>
    </w:p>
  </w:endnote>
  <w:endnote w:type="continuationSeparator" w:id="0">
    <w:p w:rsidR="00DD246A" w:rsidRDefault="00DD246A" w:rsidP="0042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6A" w:rsidRDefault="00DD246A" w:rsidP="0042610B">
      <w:pPr>
        <w:spacing w:after="0" w:line="240" w:lineRule="auto"/>
      </w:pPr>
      <w:r>
        <w:separator/>
      </w:r>
    </w:p>
  </w:footnote>
  <w:footnote w:type="continuationSeparator" w:id="0">
    <w:p w:rsidR="00DD246A" w:rsidRDefault="00DD246A" w:rsidP="0042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2" w:rsidRDefault="00681256" w:rsidP="00A60CA2">
    <w:pPr>
      <w:pStyle w:val="Cabealho"/>
    </w:pPr>
    <w:r w:rsidRPr="00A60CA2">
      <w:rPr>
        <w:noProof/>
      </w:rPr>
      <w:drawing>
        <wp:anchor distT="0" distB="0" distL="114300" distR="114300" simplePos="0" relativeHeight="251659264" behindDoc="1" locked="0" layoutInCell="1" allowOverlap="1" wp14:anchorId="2F7E3DFD" wp14:editId="191CD26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076325" cy="981075"/>
          <wp:effectExtent l="19050" t="0" r="9525" b="0"/>
          <wp:wrapNone/>
          <wp:docPr id="4" name="Imagem 3" descr="bras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</w:t>
    </w:r>
  </w:p>
  <w:p w:rsidR="00A60CA2" w:rsidRPr="00A60CA2" w:rsidRDefault="00681256" w:rsidP="00A60CA2">
    <w:pPr>
      <w:pStyle w:val="Cabealho"/>
      <w:rPr>
        <w:sz w:val="40"/>
        <w:szCs w:val="40"/>
      </w:rPr>
    </w:pPr>
    <w:r w:rsidRPr="00A60CA2">
      <w:rPr>
        <w:sz w:val="40"/>
        <w:szCs w:val="40"/>
      </w:rPr>
      <w:t xml:space="preserve">                   </w:t>
    </w:r>
    <w:r>
      <w:rPr>
        <w:sz w:val="40"/>
        <w:szCs w:val="40"/>
      </w:rPr>
      <w:t xml:space="preserve">     </w:t>
    </w:r>
    <w:r w:rsidRPr="00A60CA2">
      <w:rPr>
        <w:sz w:val="40"/>
        <w:szCs w:val="40"/>
      </w:rPr>
      <w:t xml:space="preserve">PREFEITURA MUNICIPAL DE GUARARA </w:t>
    </w:r>
  </w:p>
  <w:p w:rsidR="00A60CA2" w:rsidRDefault="00681256" w:rsidP="00A60CA2">
    <w:pPr>
      <w:pStyle w:val="Cabealho"/>
      <w:jc w:val="center"/>
    </w:pPr>
    <w:r>
      <w:t xml:space="preserve">                            Rua Capitão Gervásio, nº</w:t>
    </w:r>
    <w:proofErr w:type="gramStart"/>
    <w:r>
      <w:t xml:space="preserve">  </w:t>
    </w:r>
    <w:proofErr w:type="gramEnd"/>
    <w:r>
      <w:t xml:space="preserve">13, Centro, </w:t>
    </w:r>
    <w:proofErr w:type="spellStart"/>
    <w:r>
      <w:t>Guarará</w:t>
    </w:r>
    <w:proofErr w:type="spellEnd"/>
    <w:r>
      <w:t xml:space="preserve"> – MG – CEP.36.606-000</w:t>
    </w:r>
  </w:p>
  <w:p w:rsidR="00A60CA2" w:rsidRPr="00A60CA2" w:rsidRDefault="00681256" w:rsidP="00A60CA2">
    <w:pPr>
      <w:pStyle w:val="Cabealho"/>
      <w:jc w:val="center"/>
    </w:pPr>
    <w:r>
      <w:t xml:space="preserve">              CNPJ nº 17.723.172/0001-96 – (32)3264-1185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DF6"/>
    <w:multiLevelType w:val="hybridMultilevel"/>
    <w:tmpl w:val="9E8837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D737B0E"/>
    <w:multiLevelType w:val="hybridMultilevel"/>
    <w:tmpl w:val="D4E4C5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EF"/>
    <w:rsid w:val="000C5BA0"/>
    <w:rsid w:val="000E65AE"/>
    <w:rsid w:val="00136584"/>
    <w:rsid w:val="0014050F"/>
    <w:rsid w:val="00171EFB"/>
    <w:rsid w:val="001C1F6D"/>
    <w:rsid w:val="00225AFD"/>
    <w:rsid w:val="002463B7"/>
    <w:rsid w:val="0026651B"/>
    <w:rsid w:val="003E5D93"/>
    <w:rsid w:val="0042610B"/>
    <w:rsid w:val="004B34C1"/>
    <w:rsid w:val="004E30BA"/>
    <w:rsid w:val="004E621F"/>
    <w:rsid w:val="0051384F"/>
    <w:rsid w:val="00533CAA"/>
    <w:rsid w:val="00575E0D"/>
    <w:rsid w:val="0058463D"/>
    <w:rsid w:val="005B71D7"/>
    <w:rsid w:val="005C1289"/>
    <w:rsid w:val="005C79EE"/>
    <w:rsid w:val="00601229"/>
    <w:rsid w:val="00681256"/>
    <w:rsid w:val="0068619B"/>
    <w:rsid w:val="00695528"/>
    <w:rsid w:val="006C6B76"/>
    <w:rsid w:val="00781221"/>
    <w:rsid w:val="007C405E"/>
    <w:rsid w:val="007D4433"/>
    <w:rsid w:val="00855AEB"/>
    <w:rsid w:val="0086658C"/>
    <w:rsid w:val="00936EE5"/>
    <w:rsid w:val="009D2A5A"/>
    <w:rsid w:val="009D4095"/>
    <w:rsid w:val="009D674A"/>
    <w:rsid w:val="00A315B1"/>
    <w:rsid w:val="00AE6EAA"/>
    <w:rsid w:val="00B50508"/>
    <w:rsid w:val="00B664BD"/>
    <w:rsid w:val="00BC19F0"/>
    <w:rsid w:val="00BE3659"/>
    <w:rsid w:val="00C10D09"/>
    <w:rsid w:val="00C15D20"/>
    <w:rsid w:val="00C82AD8"/>
    <w:rsid w:val="00D53DED"/>
    <w:rsid w:val="00D80DEF"/>
    <w:rsid w:val="00DA2C1C"/>
    <w:rsid w:val="00DD246A"/>
    <w:rsid w:val="00E0130C"/>
    <w:rsid w:val="00E013B9"/>
    <w:rsid w:val="00E17254"/>
    <w:rsid w:val="00E535F2"/>
    <w:rsid w:val="00EF5B59"/>
    <w:rsid w:val="00F30103"/>
    <w:rsid w:val="00F73AE7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DEF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D8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9EE"/>
    <w:pPr>
      <w:ind w:left="720"/>
      <w:contextualSpacing/>
    </w:pPr>
  </w:style>
  <w:style w:type="paragraph" w:styleId="SemEspaamento">
    <w:name w:val="No Spacing"/>
    <w:uiPriority w:val="1"/>
    <w:qFormat/>
    <w:rsid w:val="00B664BD"/>
    <w:pPr>
      <w:spacing w:after="0" w:line="240" w:lineRule="auto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DEF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D8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9EE"/>
    <w:pPr>
      <w:ind w:left="720"/>
      <w:contextualSpacing/>
    </w:pPr>
  </w:style>
  <w:style w:type="paragraph" w:styleId="SemEspaamento">
    <w:name w:val="No Spacing"/>
    <w:uiPriority w:val="1"/>
    <w:qFormat/>
    <w:rsid w:val="00B664BD"/>
    <w:pPr>
      <w:spacing w:after="0" w:line="240" w:lineRule="auto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54A3-445D-4DF5-BD5D-49D473EF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2</cp:revision>
  <cp:lastPrinted>2017-01-19T15:27:00Z</cp:lastPrinted>
  <dcterms:created xsi:type="dcterms:W3CDTF">2017-06-23T20:13:00Z</dcterms:created>
  <dcterms:modified xsi:type="dcterms:W3CDTF">2017-06-23T20:13:00Z</dcterms:modified>
</cp:coreProperties>
</file>